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B7" w:rsidRPr="001172B7" w:rsidRDefault="001172B7" w:rsidP="001172B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172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Початкова освіта</w:t>
      </w:r>
    </w:p>
    <w:p w:rsidR="000239D5" w:rsidRDefault="000239D5" w:rsidP="00F50BC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Навчання в перших класах Черкаської загальноосвітньої школи І-ІІІ ступенів № 15 Черкаської міської ради Черкаської області у 2019-2020 навчальному році здійснюватиметься за освітніми програмами:</w:t>
      </w:r>
    </w:p>
    <w:p w:rsidR="00F50BCE" w:rsidRPr="000239D5" w:rsidRDefault="00C90762" w:rsidP="000239D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239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50BCE" w:rsidRPr="000239D5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Типова освітня програма початкової освіти (цикл 1), розроблена під керівництвом Романа Шияна (НУШ - 2) та затверджена наказом МОН України від 21.03.2018 №268</w:t>
      </w:r>
      <w:r w:rsidR="00F50BCE" w:rsidRPr="000239D5">
        <w:rPr>
          <w:b/>
          <w:i/>
          <w:sz w:val="28"/>
          <w:szCs w:val="28"/>
        </w:rPr>
        <w:t xml:space="preserve"> </w:t>
      </w:r>
    </w:p>
    <w:p w:rsidR="00F50BCE" w:rsidRPr="000239D5" w:rsidRDefault="00F50BCE" w:rsidP="00F50B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39D5">
        <w:rPr>
          <w:rFonts w:ascii="Times New Roman" w:hAnsi="Times New Roman" w:cs="Times New Roman"/>
          <w:bCs/>
          <w:sz w:val="28"/>
          <w:szCs w:val="28"/>
          <w:lang w:val="uk-UA"/>
        </w:rPr>
        <w:t>Робочий</w:t>
      </w:r>
    </w:p>
    <w:p w:rsidR="00F50BCE" w:rsidRPr="000239D5" w:rsidRDefault="00F50BCE" w:rsidP="00F50B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39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навчальний план </w:t>
      </w:r>
    </w:p>
    <w:p w:rsidR="00F50BCE" w:rsidRPr="000239D5" w:rsidRDefault="00F50BCE" w:rsidP="00F50B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39D5">
        <w:rPr>
          <w:rFonts w:ascii="Times New Roman" w:hAnsi="Times New Roman" w:cs="Times New Roman"/>
          <w:bCs/>
          <w:sz w:val="28"/>
          <w:szCs w:val="28"/>
          <w:lang w:val="uk-UA"/>
        </w:rPr>
        <w:t>початкової школи з українською мовою навчання</w:t>
      </w:r>
    </w:p>
    <w:p w:rsidR="00F50BCE" w:rsidRPr="000239D5" w:rsidRDefault="00F50BCE" w:rsidP="00F50BCE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239D5">
        <w:rPr>
          <w:rFonts w:ascii="Times New Roman" w:hAnsi="Times New Roman"/>
          <w:sz w:val="28"/>
          <w:szCs w:val="28"/>
          <w:lang w:val="uk-UA" w:eastAsia="ru-RU"/>
        </w:rPr>
        <w:t xml:space="preserve">для 1-х класів </w:t>
      </w:r>
    </w:p>
    <w:p w:rsidR="00F50BCE" w:rsidRPr="005B32FE" w:rsidRDefault="00F50BCE" w:rsidP="00F50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32FE">
        <w:rPr>
          <w:rFonts w:ascii="Times New Roman" w:hAnsi="Times New Roman"/>
          <w:b/>
          <w:sz w:val="28"/>
          <w:szCs w:val="28"/>
          <w:lang w:val="uk-UA" w:eastAsia="ru-RU"/>
        </w:rPr>
        <w:t>(</w:t>
      </w:r>
      <w:r w:rsidRPr="005B32FE">
        <w:rPr>
          <w:rFonts w:ascii="Times New Roman" w:hAnsi="Times New Roman"/>
          <w:sz w:val="28"/>
          <w:szCs w:val="28"/>
          <w:lang w:val="uk-UA" w:eastAsia="ru-RU"/>
        </w:rPr>
        <w:t>Додаток 1</w:t>
      </w:r>
      <w:r w:rsidRPr="005B32F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B32FE">
        <w:rPr>
          <w:rFonts w:ascii="Times New Roman" w:hAnsi="Times New Roman" w:cs="Times New Roman"/>
          <w:sz w:val="28"/>
          <w:szCs w:val="28"/>
          <w:lang w:val="uk-UA"/>
        </w:rPr>
        <w:t>до нака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зу Міністерства освіти і науки </w:t>
      </w:r>
      <w:r w:rsidRPr="005B32FE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F50BCE" w:rsidRPr="005B32FE" w:rsidRDefault="00F50BCE" w:rsidP="00F50BCE">
      <w:pPr>
        <w:spacing w:after="0" w:line="240" w:lineRule="auto"/>
        <w:jc w:val="center"/>
        <w:rPr>
          <w:sz w:val="28"/>
          <w:szCs w:val="28"/>
          <w:lang w:val="uk-UA"/>
        </w:rPr>
      </w:pPr>
      <w:r w:rsidRPr="005B32FE">
        <w:rPr>
          <w:rFonts w:ascii="Times New Roman" w:hAnsi="Times New Roman" w:cs="Times New Roman"/>
          <w:sz w:val="28"/>
          <w:szCs w:val="28"/>
          <w:lang w:val="uk-UA"/>
        </w:rPr>
        <w:t>від 21.03.2018 № 268)</w:t>
      </w:r>
    </w:p>
    <w:tbl>
      <w:tblPr>
        <w:tblW w:w="4961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9"/>
        <w:gridCol w:w="1782"/>
        <w:gridCol w:w="1522"/>
      </w:tblGrid>
      <w:tr w:rsidR="00F50BCE" w:rsidRPr="005B32FE" w:rsidTr="00BA4515">
        <w:trPr>
          <w:cantSplit/>
          <w:trHeight w:val="1393"/>
        </w:trPr>
        <w:tc>
          <w:tcPr>
            <w:tcW w:w="32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1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 на тиждень у класах</w:t>
            </w:r>
          </w:p>
        </w:tc>
      </w:tr>
      <w:tr w:rsidR="00F50BCE" w:rsidRPr="005B32FE" w:rsidTr="00BA4515">
        <w:trPr>
          <w:cantSplit/>
          <w:trHeight w:val="147"/>
        </w:trPr>
        <w:tc>
          <w:tcPr>
            <w:tcW w:w="32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</w:p>
        </w:tc>
      </w:tr>
      <w:tr w:rsidR="00F50BCE" w:rsidRPr="005B32FE" w:rsidTr="00BA4515">
        <w:trPr>
          <w:cantSplit/>
          <w:trHeight w:val="253"/>
        </w:trPr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3E7492" w:rsidRDefault="00F50BCE" w:rsidP="00BA451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F50BCE" w:rsidRPr="005B32FE" w:rsidTr="00BA4515">
        <w:trPr>
          <w:cantSplit/>
          <w:trHeight w:val="242"/>
        </w:trPr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3E7492" w:rsidRDefault="00F50BCE" w:rsidP="00BA451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F50BCE" w:rsidRPr="005B32FE" w:rsidTr="00BA4515">
        <w:trPr>
          <w:cantSplit/>
          <w:trHeight w:val="233"/>
        </w:trPr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3E7492" w:rsidRDefault="00F50BCE" w:rsidP="00BA451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F50BCE" w:rsidRPr="005B32FE" w:rsidTr="00BA4515">
        <w:trPr>
          <w:cantSplit/>
          <w:trHeight w:val="223"/>
        </w:trPr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3E7492" w:rsidRDefault="00F50BCE" w:rsidP="00BA451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Інтегрований курс «Я досліджую світ»* 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F50BCE" w:rsidRPr="005B32FE" w:rsidTr="00BA4515">
        <w:trPr>
          <w:cantSplit/>
          <w:trHeight w:val="213"/>
        </w:trPr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3E7492" w:rsidRDefault="00F50BCE" w:rsidP="00BA451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Українська мова в інтегрованому курсі «Я досліджую світ»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F50BCE" w:rsidRPr="005B32FE" w:rsidTr="00BA4515">
        <w:trPr>
          <w:cantSplit/>
          <w:trHeight w:val="216"/>
        </w:trPr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3E7492" w:rsidRDefault="00F50BCE" w:rsidP="00BA451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Мистецтво**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0BCE" w:rsidRPr="005B32FE" w:rsidTr="00BA4515">
        <w:trPr>
          <w:cantSplit/>
          <w:trHeight w:val="207"/>
        </w:trPr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3E7492" w:rsidRDefault="00F50BCE" w:rsidP="00BA451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Образотворче мистецтво 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50BCE" w:rsidRPr="005B32FE" w:rsidTr="00BA4515">
        <w:trPr>
          <w:cantSplit/>
          <w:trHeight w:val="338"/>
        </w:trPr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3E7492" w:rsidRDefault="00F50BCE" w:rsidP="00BA451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50BCE" w:rsidRPr="005B32FE" w:rsidTr="00BA4515">
        <w:trPr>
          <w:cantSplit/>
          <w:trHeight w:val="273"/>
        </w:trPr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3E7492" w:rsidRDefault="00F50BCE" w:rsidP="00BA451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Фізична культура ***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F50BCE" w:rsidRPr="005B32FE" w:rsidTr="00BA4515">
        <w:trPr>
          <w:cantSplit/>
          <w:trHeight w:val="262"/>
        </w:trPr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3E7492" w:rsidRDefault="00F50BCE" w:rsidP="00BA451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20+3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20+3</w:t>
            </w:r>
          </w:p>
        </w:tc>
      </w:tr>
      <w:tr w:rsidR="00F50BCE" w:rsidRPr="005B32FE" w:rsidTr="00BA4515">
        <w:trPr>
          <w:cantSplit/>
          <w:trHeight w:val="262"/>
        </w:trPr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B4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50BCE" w:rsidRPr="005B32FE" w:rsidTr="00BA4515">
        <w:trPr>
          <w:cantSplit/>
          <w:trHeight w:val="264"/>
        </w:trPr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D315F5" w:rsidRDefault="00F50BCE" w:rsidP="00BA451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315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 підсилення програми з математики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50BCE" w:rsidRPr="005B32FE" w:rsidTr="00BA4515">
        <w:trPr>
          <w:cantSplit/>
          <w:trHeight w:val="255"/>
        </w:trPr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3E7492" w:rsidRDefault="00F50BCE" w:rsidP="00BA451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F50BCE" w:rsidRPr="005B32FE" w:rsidTr="00BA4515">
        <w:trPr>
          <w:cantSplit/>
          <w:trHeight w:val="811"/>
        </w:trPr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3E7492" w:rsidRDefault="00F50BCE" w:rsidP="00BA451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CE" w:rsidRPr="005B32FE" w:rsidRDefault="00F50BCE" w:rsidP="00BA45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32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</w:tbl>
    <w:p w:rsidR="00F50BCE" w:rsidRPr="005B32FE" w:rsidRDefault="00F50BCE" w:rsidP="00F50BCE">
      <w:pPr>
        <w:widowControl w:val="0"/>
        <w:snapToGri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B32FE">
        <w:rPr>
          <w:rFonts w:ascii="Times New Roman" w:hAnsi="Times New Roman"/>
          <w:sz w:val="28"/>
          <w:szCs w:val="28"/>
          <w:lang w:val="uk-UA" w:eastAsia="ru-RU"/>
        </w:rPr>
        <w:t xml:space="preserve">* </w:t>
      </w:r>
      <w:r w:rsidRPr="005B32FE">
        <w:rPr>
          <w:rFonts w:ascii="Times New Roman" w:hAnsi="Times New Roman"/>
          <w:sz w:val="28"/>
          <w:szCs w:val="28"/>
          <w:lang w:val="uk-UA" w:eastAsia="ru-RU"/>
        </w:rPr>
        <w:tab/>
        <w:t xml:space="preserve">Орієнтовний розподіл годин між освітніми галузями в рамках цього інтегрованого предмета: мовно-літературна - 2; математична-1; природнича, технологічна, </w:t>
      </w:r>
      <w:proofErr w:type="spellStart"/>
      <w:r w:rsidRPr="005B32FE">
        <w:rPr>
          <w:rFonts w:ascii="Times New Roman" w:hAnsi="Times New Roman"/>
          <w:sz w:val="28"/>
          <w:szCs w:val="28"/>
          <w:lang w:val="uk-UA" w:eastAsia="ru-RU"/>
        </w:rPr>
        <w:t>інформатична</w:t>
      </w:r>
      <w:proofErr w:type="spellEnd"/>
      <w:r w:rsidRPr="005B32FE">
        <w:rPr>
          <w:rFonts w:ascii="Times New Roman" w:hAnsi="Times New Roman"/>
          <w:sz w:val="28"/>
          <w:szCs w:val="28"/>
          <w:lang w:val="uk-UA" w:eastAsia="ru-RU"/>
        </w:rPr>
        <w:t xml:space="preserve">, соціальна </w:t>
      </w:r>
      <w:r>
        <w:rPr>
          <w:rFonts w:ascii="Times New Roman" w:hAnsi="Times New Roman"/>
          <w:sz w:val="28"/>
          <w:szCs w:val="28"/>
          <w:lang w:val="uk-UA" w:eastAsia="ru-RU"/>
        </w:rPr>
        <w:t>й</w:t>
      </w:r>
      <w:r w:rsidRPr="005B32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B32FE">
        <w:rPr>
          <w:rFonts w:ascii="Times New Roman" w:hAnsi="Times New Roman"/>
          <w:sz w:val="28"/>
          <w:szCs w:val="28"/>
          <w:lang w:val="uk-UA" w:eastAsia="ru-RU"/>
        </w:rPr>
        <w:t>здоровʹязбереж</w:t>
      </w:r>
      <w:r>
        <w:rPr>
          <w:rFonts w:ascii="Times New Roman" w:hAnsi="Times New Roman"/>
          <w:sz w:val="28"/>
          <w:szCs w:val="28"/>
          <w:lang w:val="uk-UA" w:eastAsia="ru-RU"/>
        </w:rPr>
        <w:t>уваль</w:t>
      </w:r>
      <w:r w:rsidRPr="005B32FE">
        <w:rPr>
          <w:rFonts w:ascii="Times New Roman" w:hAnsi="Times New Roman"/>
          <w:sz w:val="28"/>
          <w:szCs w:val="28"/>
          <w:lang w:val="uk-UA" w:eastAsia="ru-RU"/>
        </w:rPr>
        <w:t>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5B32FE">
        <w:rPr>
          <w:rFonts w:ascii="Times New Roman" w:hAnsi="Times New Roman"/>
          <w:sz w:val="28"/>
          <w:szCs w:val="28"/>
          <w:lang w:val="uk-UA" w:eastAsia="ru-RU"/>
        </w:rPr>
        <w:t xml:space="preserve"> громадянська та історична – разом 4 для 1 класу, 5 – для 2-4 класу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5B32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F50BCE" w:rsidRPr="005B32FE" w:rsidRDefault="00F50BCE" w:rsidP="00F50BCE">
      <w:pPr>
        <w:widowControl w:val="0"/>
        <w:snapToGri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B32FE">
        <w:rPr>
          <w:rFonts w:ascii="Times New Roman" w:hAnsi="Times New Roman"/>
          <w:sz w:val="28"/>
          <w:szCs w:val="28"/>
          <w:lang w:val="uk-UA" w:eastAsia="ru-RU"/>
        </w:rPr>
        <w:t>**</w:t>
      </w:r>
      <w:r w:rsidRPr="005B32FE">
        <w:rPr>
          <w:rFonts w:ascii="Times New Roman" w:hAnsi="Times New Roman"/>
          <w:sz w:val="28"/>
          <w:szCs w:val="28"/>
          <w:lang w:val="uk-UA" w:eastAsia="ru-RU"/>
        </w:rPr>
        <w:tab/>
        <w:t>Інтегрований предмет або окремі предмети «Образотворче мистецтво» і «Музичне мистецтво»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50BCE" w:rsidRPr="0091157E" w:rsidRDefault="00F50BCE" w:rsidP="00F50BCE">
      <w:pPr>
        <w:widowControl w:val="0"/>
        <w:snapToGri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B32FE">
        <w:rPr>
          <w:rFonts w:ascii="Times New Roman" w:hAnsi="Times New Roman"/>
          <w:sz w:val="28"/>
          <w:szCs w:val="28"/>
          <w:lang w:val="uk-UA" w:eastAsia="ru-RU"/>
        </w:rPr>
        <w:t>***</w:t>
      </w:r>
      <w:r w:rsidRPr="005B32FE">
        <w:rPr>
          <w:rFonts w:ascii="Times New Roman" w:hAnsi="Times New Roman"/>
          <w:sz w:val="28"/>
          <w:szCs w:val="28"/>
          <w:lang w:val="uk-UA" w:eastAsia="ru-RU"/>
        </w:rPr>
        <w:tab/>
        <w:t xml:space="preserve">Години, передбачені для фізичної культури, не враховуються під </w:t>
      </w:r>
      <w:r w:rsidRPr="005B32FE">
        <w:rPr>
          <w:rFonts w:ascii="Times New Roman" w:hAnsi="Times New Roman"/>
          <w:sz w:val="28"/>
          <w:szCs w:val="28"/>
          <w:lang w:val="uk-UA" w:eastAsia="ru-RU"/>
        </w:rPr>
        <w:lastRenderedPageBreak/>
        <w:t>час визначення гранично допустимого навчального навантаження учні</w:t>
      </w:r>
      <w:r>
        <w:rPr>
          <w:rFonts w:ascii="Times New Roman" w:hAnsi="Times New Roman"/>
          <w:sz w:val="28"/>
          <w:szCs w:val="28"/>
          <w:lang w:val="uk-UA" w:eastAsia="ru-RU"/>
        </w:rPr>
        <w:t>в, але обов'язково фінансуються.</w:t>
      </w:r>
    </w:p>
    <w:p w:rsidR="00F50BCE" w:rsidRDefault="00F50BCE" w:rsidP="00C907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762" w:rsidRPr="000239D5" w:rsidRDefault="00C90762" w:rsidP="000239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9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освітня програма початкової освіти «На крилах успіху» для 1-2 класів закладів загальної середньої освіти, розроблена відповідно до Закону України «Про освіту», Державного стандарту початкової освіти, апробована й експериментально перевірена в межах дослідно-експериментальної роботи всеукраїнського рівня «Дидактико-методичне і навчальне забезпечення реалізації концептуальних засад реформування початкової загальної освіти» (наказ МОН України №834 від 15.07.2016).</w:t>
      </w:r>
    </w:p>
    <w:p w:rsidR="000239D5" w:rsidRPr="000239D5" w:rsidRDefault="000239D5" w:rsidP="000239D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9D5" w:rsidRDefault="00F50BCE" w:rsidP="00F50BCE">
      <w:pPr>
        <w:pStyle w:val="Default"/>
        <w:jc w:val="center"/>
        <w:rPr>
          <w:b/>
          <w:bCs/>
          <w:sz w:val="28"/>
          <w:szCs w:val="28"/>
          <w:lang w:val="uk-UA"/>
        </w:rPr>
      </w:pPr>
      <w:proofErr w:type="spellStart"/>
      <w:r w:rsidRPr="001A5ABF">
        <w:rPr>
          <w:b/>
          <w:bCs/>
          <w:sz w:val="28"/>
          <w:szCs w:val="28"/>
        </w:rPr>
        <w:t>Навчальний</w:t>
      </w:r>
      <w:proofErr w:type="spellEnd"/>
      <w:r w:rsidRPr="001A5ABF">
        <w:rPr>
          <w:b/>
          <w:bCs/>
          <w:sz w:val="28"/>
          <w:szCs w:val="28"/>
        </w:rPr>
        <w:t xml:space="preserve"> план </w:t>
      </w:r>
    </w:p>
    <w:p w:rsidR="00F50BCE" w:rsidRPr="001A5ABF" w:rsidRDefault="00F50BCE" w:rsidP="00F50BCE">
      <w:pPr>
        <w:pStyle w:val="Default"/>
        <w:jc w:val="center"/>
        <w:rPr>
          <w:sz w:val="28"/>
          <w:szCs w:val="28"/>
        </w:rPr>
      </w:pPr>
      <w:proofErr w:type="spellStart"/>
      <w:r w:rsidRPr="001A5ABF">
        <w:rPr>
          <w:b/>
          <w:bCs/>
          <w:sz w:val="28"/>
          <w:szCs w:val="28"/>
        </w:rPr>
        <w:t>Типової</w:t>
      </w:r>
      <w:proofErr w:type="spellEnd"/>
      <w:r w:rsidRPr="001A5ABF">
        <w:rPr>
          <w:b/>
          <w:bCs/>
          <w:sz w:val="28"/>
          <w:szCs w:val="28"/>
        </w:rPr>
        <w:t xml:space="preserve"> </w:t>
      </w:r>
      <w:proofErr w:type="spellStart"/>
      <w:r w:rsidRPr="001A5ABF">
        <w:rPr>
          <w:b/>
          <w:bCs/>
          <w:sz w:val="28"/>
          <w:szCs w:val="28"/>
        </w:rPr>
        <w:t>освітньої</w:t>
      </w:r>
      <w:proofErr w:type="spellEnd"/>
      <w:r w:rsidRPr="001A5ABF">
        <w:rPr>
          <w:b/>
          <w:bCs/>
          <w:sz w:val="28"/>
          <w:szCs w:val="28"/>
        </w:rPr>
        <w:t xml:space="preserve"> </w:t>
      </w:r>
      <w:proofErr w:type="spellStart"/>
      <w:r w:rsidRPr="001A5ABF">
        <w:rPr>
          <w:b/>
          <w:bCs/>
          <w:sz w:val="28"/>
          <w:szCs w:val="28"/>
        </w:rPr>
        <w:t>програми</w:t>
      </w:r>
      <w:proofErr w:type="spellEnd"/>
      <w:r w:rsidRPr="001A5ABF">
        <w:rPr>
          <w:b/>
          <w:bCs/>
          <w:sz w:val="28"/>
          <w:szCs w:val="28"/>
        </w:rPr>
        <w:t xml:space="preserve"> «На </w:t>
      </w:r>
      <w:proofErr w:type="spellStart"/>
      <w:r w:rsidRPr="001A5ABF">
        <w:rPr>
          <w:b/>
          <w:bCs/>
          <w:sz w:val="28"/>
          <w:szCs w:val="28"/>
        </w:rPr>
        <w:t>крилах</w:t>
      </w:r>
      <w:proofErr w:type="spellEnd"/>
      <w:r w:rsidRPr="001A5ABF">
        <w:rPr>
          <w:b/>
          <w:bCs/>
          <w:sz w:val="28"/>
          <w:szCs w:val="28"/>
        </w:rPr>
        <w:t xml:space="preserve"> </w:t>
      </w:r>
      <w:proofErr w:type="spellStart"/>
      <w:r w:rsidRPr="001A5ABF">
        <w:rPr>
          <w:b/>
          <w:bCs/>
          <w:sz w:val="28"/>
          <w:szCs w:val="28"/>
        </w:rPr>
        <w:t>успіху</w:t>
      </w:r>
      <w:proofErr w:type="spellEnd"/>
      <w:r w:rsidRPr="001A5ABF">
        <w:rPr>
          <w:b/>
          <w:bCs/>
          <w:sz w:val="28"/>
          <w:szCs w:val="28"/>
        </w:rPr>
        <w:t>»</w:t>
      </w:r>
    </w:p>
    <w:p w:rsidR="00F50BCE" w:rsidRPr="000C472B" w:rsidRDefault="00F50BCE" w:rsidP="00F50B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C472B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0C472B">
        <w:rPr>
          <w:rFonts w:ascii="Times New Roman" w:hAnsi="Times New Roman" w:cs="Times New Roman"/>
          <w:b/>
          <w:bCs/>
          <w:sz w:val="28"/>
          <w:szCs w:val="28"/>
        </w:rPr>
        <w:t>тижневе</w:t>
      </w:r>
      <w:proofErr w:type="spellEnd"/>
      <w:r w:rsidRPr="000C47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472B">
        <w:rPr>
          <w:rFonts w:ascii="Times New Roman" w:hAnsi="Times New Roman" w:cs="Times New Roman"/>
          <w:b/>
          <w:bCs/>
          <w:sz w:val="28"/>
          <w:szCs w:val="28"/>
        </w:rPr>
        <w:t>навантаження</w:t>
      </w:r>
      <w:proofErr w:type="spellEnd"/>
      <w:r w:rsidRPr="000C472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50BCE" w:rsidRPr="000C472B" w:rsidRDefault="00F50BCE" w:rsidP="00F50B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9889" w:type="dxa"/>
        <w:tblInd w:w="108" w:type="dxa"/>
        <w:tblLook w:val="04A0" w:firstRow="1" w:lastRow="0" w:firstColumn="1" w:lastColumn="0" w:noHBand="0" w:noVBand="1"/>
      </w:tblPr>
      <w:tblGrid>
        <w:gridCol w:w="3510"/>
        <w:gridCol w:w="3119"/>
        <w:gridCol w:w="1701"/>
        <w:gridCol w:w="1559"/>
      </w:tblGrid>
      <w:tr w:rsidR="00F50BCE" w:rsidTr="00BA4515">
        <w:trPr>
          <w:trHeight w:val="330"/>
        </w:trPr>
        <w:tc>
          <w:tcPr>
            <w:tcW w:w="3510" w:type="dxa"/>
            <w:vMerge w:val="restart"/>
          </w:tcPr>
          <w:p w:rsidR="00F50BCE" w:rsidRPr="00DA0114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освітньої галузі</w:t>
            </w:r>
          </w:p>
        </w:tc>
        <w:tc>
          <w:tcPr>
            <w:tcW w:w="3119" w:type="dxa"/>
            <w:vMerge w:val="restart"/>
          </w:tcPr>
          <w:p w:rsidR="00F50BCE" w:rsidRPr="00DA0114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3260" w:type="dxa"/>
            <w:gridSpan w:val="2"/>
          </w:tcPr>
          <w:p w:rsidR="00F50BCE" w:rsidRPr="00DA0114" w:rsidRDefault="00F50BCE" w:rsidP="00BA45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F50BCE" w:rsidTr="00BA4515">
        <w:trPr>
          <w:trHeight w:val="330"/>
        </w:trPr>
        <w:tc>
          <w:tcPr>
            <w:tcW w:w="3510" w:type="dxa"/>
            <w:vMerge/>
          </w:tcPr>
          <w:p w:rsidR="00F50BCE" w:rsidRPr="00DA0114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F50BCE" w:rsidRPr="00DA0114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50BCE" w:rsidRPr="00DA0114" w:rsidRDefault="000239D5" w:rsidP="00023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1кл.</w:t>
            </w:r>
          </w:p>
        </w:tc>
        <w:tc>
          <w:tcPr>
            <w:tcW w:w="1559" w:type="dxa"/>
          </w:tcPr>
          <w:p w:rsidR="00F50BCE" w:rsidRPr="00DA0114" w:rsidRDefault="000239D5" w:rsidP="00023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кл.</w:t>
            </w:r>
          </w:p>
        </w:tc>
      </w:tr>
      <w:tr w:rsidR="00F50BCE" w:rsidTr="00BA4515">
        <w:tc>
          <w:tcPr>
            <w:tcW w:w="9889" w:type="dxa"/>
            <w:gridSpan w:val="4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Інваріантний складник</w:t>
            </w:r>
          </w:p>
        </w:tc>
      </w:tr>
      <w:tr w:rsidR="00F50BCE" w:rsidTr="00BA4515">
        <w:tc>
          <w:tcPr>
            <w:tcW w:w="3510" w:type="dxa"/>
            <w:vMerge w:val="restart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Мовно-літературна</w:t>
            </w:r>
          </w:p>
        </w:tc>
        <w:tc>
          <w:tcPr>
            <w:tcW w:w="3119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50BCE" w:rsidTr="00BA4515">
        <w:tc>
          <w:tcPr>
            <w:tcW w:w="3510" w:type="dxa"/>
            <w:vMerge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50BCE" w:rsidTr="00BA4515">
        <w:tc>
          <w:tcPr>
            <w:tcW w:w="3510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3119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  <w:tc>
          <w:tcPr>
            <w:tcW w:w="1701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50BCE" w:rsidTr="00BA4515">
        <w:tc>
          <w:tcPr>
            <w:tcW w:w="3510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Природнича</w:t>
            </w:r>
          </w:p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і </w:t>
            </w:r>
          </w:p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r w:rsidRPr="000625F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язбережувальна</w:t>
            </w:r>
            <w:proofErr w:type="spellEnd"/>
          </w:p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та</w:t>
            </w:r>
          </w:p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історична</w:t>
            </w:r>
          </w:p>
        </w:tc>
        <w:tc>
          <w:tcPr>
            <w:tcW w:w="3119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</w:t>
            </w:r>
          </w:p>
        </w:tc>
        <w:tc>
          <w:tcPr>
            <w:tcW w:w="1701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F50BCE" w:rsidRPr="00630683" w:rsidRDefault="00F50BCE" w:rsidP="00BA4515">
            <w:pPr>
              <w:ind w:left="-250" w:firstLine="2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50BCE" w:rsidTr="00BA4515">
        <w:tc>
          <w:tcPr>
            <w:tcW w:w="3510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і </w:t>
            </w:r>
          </w:p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r w:rsidRPr="00630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язбережувальна</w:t>
            </w:r>
            <w:proofErr w:type="spellEnd"/>
          </w:p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Фізкультурна</w:t>
            </w:r>
          </w:p>
        </w:tc>
        <w:tc>
          <w:tcPr>
            <w:tcW w:w="3119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701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50BCE" w:rsidTr="00BA4515">
        <w:tc>
          <w:tcPr>
            <w:tcW w:w="3510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Мистецька</w:t>
            </w:r>
          </w:p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Інформатична</w:t>
            </w:r>
            <w:proofErr w:type="spellEnd"/>
          </w:p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3119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Арт-технології</w:t>
            </w:r>
          </w:p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інформатика</w:t>
            </w:r>
          </w:p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(ІКТ)</w:t>
            </w:r>
          </w:p>
        </w:tc>
        <w:tc>
          <w:tcPr>
            <w:tcW w:w="1701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50BCE" w:rsidTr="00BA4515">
        <w:tc>
          <w:tcPr>
            <w:tcW w:w="3510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119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19+3</w:t>
            </w:r>
          </w:p>
        </w:tc>
        <w:tc>
          <w:tcPr>
            <w:tcW w:w="1559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19+3</w:t>
            </w:r>
          </w:p>
        </w:tc>
      </w:tr>
      <w:tr w:rsidR="00F50BCE" w:rsidTr="00BA4515">
        <w:tc>
          <w:tcPr>
            <w:tcW w:w="3510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години</w:t>
            </w:r>
          </w:p>
        </w:tc>
        <w:tc>
          <w:tcPr>
            <w:tcW w:w="3119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підсилення програми з української мови</w:t>
            </w:r>
          </w:p>
        </w:tc>
        <w:tc>
          <w:tcPr>
            <w:tcW w:w="1701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F50BCE" w:rsidRPr="00630683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50BCE" w:rsidRPr="000C472B" w:rsidTr="00BA4515">
        <w:tc>
          <w:tcPr>
            <w:tcW w:w="6629" w:type="dxa"/>
            <w:gridSpan w:val="2"/>
          </w:tcPr>
          <w:p w:rsidR="00F50BCE" w:rsidRPr="000C472B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Гранично допустиме навантаження</w:t>
            </w:r>
          </w:p>
        </w:tc>
        <w:tc>
          <w:tcPr>
            <w:tcW w:w="1701" w:type="dxa"/>
          </w:tcPr>
          <w:p w:rsidR="00F50BCE" w:rsidRPr="000C472B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</w:tcPr>
          <w:p w:rsidR="00F50BCE" w:rsidRPr="000C472B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50BCE" w:rsidTr="00BA4515">
        <w:tc>
          <w:tcPr>
            <w:tcW w:w="6629" w:type="dxa"/>
            <w:gridSpan w:val="2"/>
          </w:tcPr>
          <w:p w:rsidR="00F50BCE" w:rsidRPr="000C472B" w:rsidRDefault="00F50BCE" w:rsidP="00BA4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C472B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Загальнотижнева</w:t>
            </w:r>
            <w:proofErr w:type="spellEnd"/>
            <w:r w:rsidRPr="000C4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472B">
              <w:rPr>
                <w:rFonts w:ascii="Times New Roman" w:hAnsi="Times New Roman" w:cs="Times New Roman"/>
                <w:bCs/>
                <w:sz w:val="28"/>
                <w:szCs w:val="28"/>
              </w:rPr>
              <w:t>кількість</w:t>
            </w:r>
            <w:proofErr w:type="spellEnd"/>
            <w:r w:rsidRPr="000C4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472B">
              <w:rPr>
                <w:rFonts w:ascii="Times New Roman" w:hAnsi="Times New Roman" w:cs="Times New Roman"/>
                <w:bCs/>
                <w:sz w:val="28"/>
                <w:szCs w:val="28"/>
              </w:rPr>
              <w:t>навчальних</w:t>
            </w:r>
            <w:proofErr w:type="spellEnd"/>
            <w:r w:rsidRPr="000C4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годин, </w:t>
            </w:r>
            <w:proofErr w:type="spellStart"/>
            <w:r w:rsidRPr="000C472B">
              <w:rPr>
                <w:rFonts w:ascii="Times New Roman" w:hAnsi="Times New Roman" w:cs="Times New Roman"/>
                <w:bCs/>
                <w:sz w:val="28"/>
                <w:szCs w:val="28"/>
              </w:rPr>
              <w:t>що</w:t>
            </w:r>
            <w:proofErr w:type="spellEnd"/>
            <w:r w:rsidRPr="000C4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472B">
              <w:rPr>
                <w:rFonts w:ascii="Times New Roman" w:hAnsi="Times New Roman" w:cs="Times New Roman"/>
                <w:bCs/>
                <w:sz w:val="28"/>
                <w:szCs w:val="28"/>
              </w:rPr>
              <w:t>фінансуються</w:t>
            </w:r>
            <w:proofErr w:type="spellEnd"/>
            <w:r w:rsidRPr="000C4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бюджету (без </w:t>
            </w:r>
            <w:proofErr w:type="spellStart"/>
            <w:r w:rsidRPr="000C472B">
              <w:rPr>
                <w:rFonts w:ascii="Times New Roman" w:hAnsi="Times New Roman" w:cs="Times New Roman"/>
                <w:bCs/>
                <w:sz w:val="28"/>
                <w:szCs w:val="28"/>
              </w:rPr>
              <w:t>урахування</w:t>
            </w:r>
            <w:proofErr w:type="spellEnd"/>
            <w:r w:rsidRPr="000C4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472B">
              <w:rPr>
                <w:rFonts w:ascii="Times New Roman" w:hAnsi="Times New Roman" w:cs="Times New Roman"/>
                <w:bCs/>
                <w:sz w:val="28"/>
                <w:szCs w:val="28"/>
              </w:rPr>
              <w:t>поділу</w:t>
            </w:r>
            <w:proofErr w:type="spellEnd"/>
            <w:r w:rsidRPr="000C4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472B">
              <w:rPr>
                <w:rFonts w:ascii="Times New Roman" w:hAnsi="Times New Roman" w:cs="Times New Roman"/>
                <w:bCs/>
                <w:sz w:val="28"/>
                <w:szCs w:val="28"/>
              </w:rPr>
              <w:t>класі</w:t>
            </w:r>
            <w:proofErr w:type="gramStart"/>
            <w:r w:rsidRPr="000C472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0C4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0C472B">
              <w:rPr>
                <w:rFonts w:ascii="Times New Roman" w:hAnsi="Times New Roman" w:cs="Times New Roman"/>
                <w:bCs/>
                <w:sz w:val="28"/>
                <w:szCs w:val="28"/>
              </w:rPr>
              <w:t>групи</w:t>
            </w:r>
            <w:proofErr w:type="spellEnd"/>
            <w:r w:rsidRPr="000C4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F50BCE" w:rsidRPr="000C472B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559" w:type="dxa"/>
          </w:tcPr>
          <w:p w:rsidR="00F50BCE" w:rsidRPr="000C472B" w:rsidRDefault="00F50BCE" w:rsidP="00BA4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</w:tbl>
    <w:p w:rsidR="00F50BCE" w:rsidRDefault="00F50BCE" w:rsidP="00F50BCE">
      <w:pPr>
        <w:pStyle w:val="Default"/>
      </w:pPr>
    </w:p>
    <w:p w:rsidR="00F50BCE" w:rsidRPr="000C472B" w:rsidRDefault="00F50BCE" w:rsidP="00F50BCE">
      <w:pPr>
        <w:pStyle w:val="Default"/>
      </w:pPr>
      <w:r w:rsidRPr="000C472B">
        <w:t>*</w:t>
      </w:r>
      <w:proofErr w:type="spellStart"/>
      <w:r w:rsidRPr="000C472B">
        <w:t>Години</w:t>
      </w:r>
      <w:proofErr w:type="spellEnd"/>
      <w:r w:rsidRPr="000C472B">
        <w:t xml:space="preserve"> </w:t>
      </w:r>
      <w:proofErr w:type="spellStart"/>
      <w:r w:rsidRPr="000C472B">
        <w:t>фізичної</w:t>
      </w:r>
      <w:proofErr w:type="spellEnd"/>
      <w:r w:rsidRPr="000C472B">
        <w:t xml:space="preserve"> </w:t>
      </w:r>
      <w:proofErr w:type="spellStart"/>
      <w:r w:rsidRPr="000C472B">
        <w:t>культури</w:t>
      </w:r>
      <w:proofErr w:type="spellEnd"/>
      <w:r w:rsidRPr="000C472B">
        <w:t xml:space="preserve"> при </w:t>
      </w:r>
      <w:proofErr w:type="spellStart"/>
      <w:r w:rsidRPr="000C472B">
        <w:t>визначенні</w:t>
      </w:r>
      <w:proofErr w:type="spellEnd"/>
      <w:r w:rsidRPr="000C472B">
        <w:t xml:space="preserve"> </w:t>
      </w:r>
      <w:proofErr w:type="spellStart"/>
      <w:r w:rsidRPr="000C472B">
        <w:t>гранично</w:t>
      </w:r>
      <w:proofErr w:type="spellEnd"/>
      <w:r w:rsidRPr="000C472B">
        <w:t xml:space="preserve"> допустимого </w:t>
      </w:r>
      <w:proofErr w:type="spellStart"/>
      <w:r w:rsidRPr="000C472B">
        <w:t>навантаження</w:t>
      </w:r>
      <w:proofErr w:type="spellEnd"/>
      <w:r w:rsidRPr="000C472B">
        <w:t xml:space="preserve"> </w:t>
      </w:r>
      <w:proofErr w:type="spellStart"/>
      <w:r w:rsidRPr="000C472B">
        <w:t>учня</w:t>
      </w:r>
      <w:proofErr w:type="spellEnd"/>
      <w:r w:rsidRPr="000C472B">
        <w:t xml:space="preserve"> не </w:t>
      </w:r>
      <w:proofErr w:type="spellStart"/>
      <w:r w:rsidRPr="000C472B">
        <w:t>враховуються</w:t>
      </w:r>
      <w:proofErr w:type="spellEnd"/>
      <w:r w:rsidRPr="000C472B">
        <w:t xml:space="preserve">, але </w:t>
      </w:r>
      <w:proofErr w:type="spellStart"/>
      <w:r w:rsidRPr="000C472B">
        <w:t>обов’язково</w:t>
      </w:r>
      <w:proofErr w:type="spellEnd"/>
      <w:r w:rsidRPr="000C472B">
        <w:t xml:space="preserve"> </w:t>
      </w:r>
      <w:proofErr w:type="spellStart"/>
      <w:r w:rsidRPr="000C472B">
        <w:t>фінансуються</w:t>
      </w:r>
      <w:proofErr w:type="spellEnd"/>
      <w:r w:rsidRPr="000C472B">
        <w:t xml:space="preserve">. </w:t>
      </w:r>
    </w:p>
    <w:p w:rsidR="00F50BCE" w:rsidRPr="000C472B" w:rsidRDefault="00F50BCE" w:rsidP="00F50BCE">
      <w:pPr>
        <w:pStyle w:val="Default"/>
      </w:pPr>
      <w:r w:rsidRPr="000C472B">
        <w:t xml:space="preserve">** Година математики </w:t>
      </w:r>
      <w:proofErr w:type="spellStart"/>
      <w:r w:rsidRPr="000C472B">
        <w:t>додається</w:t>
      </w:r>
      <w:proofErr w:type="spellEnd"/>
      <w:r w:rsidRPr="000C472B">
        <w:t xml:space="preserve"> з </w:t>
      </w:r>
      <w:proofErr w:type="spellStart"/>
      <w:r w:rsidRPr="000C472B">
        <w:t>варіативного</w:t>
      </w:r>
      <w:proofErr w:type="spellEnd"/>
      <w:r w:rsidRPr="000C472B">
        <w:t xml:space="preserve"> </w:t>
      </w:r>
      <w:proofErr w:type="spellStart"/>
      <w:r w:rsidRPr="000C472B">
        <w:t>складника</w:t>
      </w:r>
      <w:proofErr w:type="spellEnd"/>
      <w:r w:rsidRPr="000C472B">
        <w:t xml:space="preserve"> для </w:t>
      </w:r>
      <w:proofErr w:type="spellStart"/>
      <w:r w:rsidRPr="000C472B">
        <w:t>інтеграції</w:t>
      </w:r>
      <w:proofErr w:type="spellEnd"/>
      <w:r w:rsidRPr="000C472B">
        <w:t xml:space="preserve"> з </w:t>
      </w:r>
      <w:proofErr w:type="spellStart"/>
      <w:r w:rsidRPr="000C472B">
        <w:t>логікою</w:t>
      </w:r>
      <w:proofErr w:type="spellEnd"/>
      <w:r w:rsidRPr="000C472B">
        <w:t xml:space="preserve">. </w:t>
      </w:r>
    </w:p>
    <w:p w:rsidR="00F50BCE" w:rsidRDefault="00F50BCE" w:rsidP="00F50B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015C" w:rsidRPr="00F50BCE" w:rsidRDefault="008A015C" w:rsidP="00C9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15C" w:rsidRPr="000239D5" w:rsidRDefault="00C90762" w:rsidP="000239D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9D5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Освітня програма початкової школи науково – педагогічного проекту «Інтелект України, яка відповідає Державному стандарту та може запроваджуватися у закладах загальної середньої освіти згідно з листом МОН України №1/9 – 344 від 25.05.2018р.</w:t>
      </w:r>
    </w:p>
    <w:p w:rsidR="000239D5" w:rsidRDefault="008A01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початкової школи(далі </w:t>
      </w:r>
      <w:proofErr w:type="spellStart"/>
      <w:r w:rsidRPr="000239D5">
        <w:rPr>
          <w:rFonts w:ascii="Times New Roman" w:hAnsi="Times New Roman" w:cs="Times New Roman"/>
          <w:sz w:val="28"/>
          <w:szCs w:val="28"/>
          <w:lang w:val="uk-UA"/>
        </w:rPr>
        <w:t>—Програма</w:t>
      </w:r>
      <w:proofErr w:type="spellEnd"/>
      <w:r w:rsidRPr="000239D5">
        <w:rPr>
          <w:rFonts w:ascii="Times New Roman" w:hAnsi="Times New Roman" w:cs="Times New Roman"/>
          <w:sz w:val="28"/>
          <w:szCs w:val="28"/>
          <w:lang w:val="uk-UA"/>
        </w:rPr>
        <w:t>)науково-педагогічного</w:t>
      </w:r>
      <w:r w:rsidR="000239D5"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39D5">
        <w:rPr>
          <w:rFonts w:ascii="Times New Roman" w:hAnsi="Times New Roman" w:cs="Times New Roman"/>
          <w:sz w:val="28"/>
          <w:szCs w:val="28"/>
          <w:lang w:val="uk-UA"/>
        </w:rPr>
        <w:t>проекту«Інтелект</w:t>
      </w:r>
      <w:proofErr w:type="spellEnd"/>
      <w:r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 України»(далі </w:t>
      </w:r>
      <w:proofErr w:type="spellStart"/>
      <w:r w:rsidRPr="000239D5">
        <w:rPr>
          <w:rFonts w:ascii="Times New Roman" w:hAnsi="Times New Roman" w:cs="Times New Roman"/>
          <w:sz w:val="28"/>
          <w:szCs w:val="28"/>
          <w:lang w:val="uk-UA"/>
        </w:rPr>
        <w:t>—Проект</w:t>
      </w:r>
      <w:proofErr w:type="spellEnd"/>
      <w:r w:rsidRPr="000239D5">
        <w:rPr>
          <w:rFonts w:ascii="Times New Roman" w:hAnsi="Times New Roman" w:cs="Times New Roman"/>
          <w:sz w:val="28"/>
          <w:szCs w:val="28"/>
          <w:lang w:val="uk-UA"/>
        </w:rPr>
        <w:t>)розроблена</w:t>
      </w:r>
      <w:r w:rsidR="00F50BCE"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9D5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F50BCE"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9D5">
        <w:rPr>
          <w:rFonts w:ascii="Times New Roman" w:hAnsi="Times New Roman" w:cs="Times New Roman"/>
          <w:sz w:val="28"/>
          <w:szCs w:val="28"/>
          <w:lang w:val="uk-UA"/>
        </w:rPr>
        <w:t>виконання Закону</w:t>
      </w:r>
      <w:r w:rsidR="000239D5"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9D5">
        <w:rPr>
          <w:rFonts w:ascii="Times New Roman" w:hAnsi="Times New Roman" w:cs="Times New Roman"/>
          <w:sz w:val="28"/>
          <w:szCs w:val="28"/>
          <w:lang w:val="uk-UA"/>
        </w:rPr>
        <w:t>України «Про освіту», Державного стандарту початкової освіти,</w:t>
      </w:r>
      <w:r w:rsidR="00F50BCE"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9D5">
        <w:rPr>
          <w:rFonts w:ascii="Times New Roman" w:hAnsi="Times New Roman" w:cs="Times New Roman"/>
          <w:sz w:val="28"/>
          <w:szCs w:val="28"/>
          <w:lang w:val="uk-UA"/>
        </w:rPr>
        <w:t>затвердженого постановою Кабінету Міністрів України від 21.02.2018 р. No87,розпорядженьКабінету Міністрів України від 14.12.2016р.No988-р «Про схвалення Концепції реалізації державної політики</w:t>
      </w:r>
      <w:r w:rsidR="00F50BCE"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F50BCE"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9D5">
        <w:rPr>
          <w:rFonts w:ascii="Times New Roman" w:hAnsi="Times New Roman" w:cs="Times New Roman"/>
          <w:sz w:val="28"/>
          <w:szCs w:val="28"/>
          <w:lang w:val="uk-UA"/>
        </w:rPr>
        <w:t>сфері реформування загальної середньої освіти «Нова українська школа»</w:t>
      </w:r>
      <w:r w:rsidR="00F50BCE"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до 2029року»,від 13.12.2017р. No903-р «Про затвердження плану заходів на 2017‒2029 роки із запровадження Концепції реалізації державної політики у сфері реформування загальної середньої освіти «Нова українська школа», наказів Міністерства </w:t>
      </w:r>
      <w:proofErr w:type="spellStart"/>
      <w:r w:rsidRPr="000239D5">
        <w:rPr>
          <w:rFonts w:ascii="Times New Roman" w:hAnsi="Times New Roman" w:cs="Times New Roman"/>
          <w:sz w:val="28"/>
          <w:szCs w:val="28"/>
          <w:lang w:val="uk-UA"/>
        </w:rPr>
        <w:t>освітиі</w:t>
      </w:r>
      <w:proofErr w:type="spellEnd"/>
      <w:r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 науки України від 02.11.2016р.No1319 «Про проведення всеукраїнського експерименту за темою «Реалізація </w:t>
      </w:r>
      <w:proofErr w:type="spellStart"/>
      <w:r w:rsidRPr="000239D5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 підходу в науково-педагогічному проекті «Інтелект України» на базі загальноосвітніх навчальних закладів» (</w:t>
      </w:r>
      <w:proofErr w:type="spellStart"/>
      <w:r w:rsidRPr="000239D5">
        <w:rPr>
          <w:rFonts w:ascii="Times New Roman" w:hAnsi="Times New Roman" w:cs="Times New Roman"/>
          <w:sz w:val="28"/>
          <w:szCs w:val="28"/>
          <w:lang w:val="uk-UA"/>
        </w:rPr>
        <w:t>зізмінами</w:t>
      </w:r>
      <w:proofErr w:type="spellEnd"/>
      <w:r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, внесеними наказом </w:t>
      </w:r>
      <w:proofErr w:type="spellStart"/>
      <w:r w:rsidRPr="000239D5">
        <w:rPr>
          <w:rFonts w:ascii="Times New Roman" w:hAnsi="Times New Roman" w:cs="Times New Roman"/>
          <w:sz w:val="28"/>
          <w:szCs w:val="28"/>
          <w:lang w:val="uk-UA"/>
        </w:rPr>
        <w:t>Міністерстваосвітиінауки</w:t>
      </w:r>
      <w:proofErr w:type="spellEnd"/>
      <w:r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від16.01.2017р.No67), від 13.07.2017 р.No1021 «Про організаційні</w:t>
      </w:r>
      <w:r w:rsidR="000239D5"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9D5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0239D5"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Концепції Нової української школи у загальноосвітніх навчальних закладах І ступеня» тавід14.08.2017р.No1171 «Про завершення </w:t>
      </w:r>
      <w:proofErr w:type="spellStart"/>
      <w:r w:rsidRPr="000239D5">
        <w:rPr>
          <w:rFonts w:ascii="Times New Roman" w:hAnsi="Times New Roman" w:cs="Times New Roman"/>
          <w:sz w:val="28"/>
          <w:szCs w:val="28"/>
          <w:lang w:val="uk-UA"/>
        </w:rPr>
        <w:t>Іетапу</w:t>
      </w:r>
      <w:proofErr w:type="spellEnd"/>
      <w:r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експерименту за темою «Реалізація </w:t>
      </w:r>
      <w:proofErr w:type="spellStart"/>
      <w:r w:rsidRPr="000239D5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 підходу </w:t>
      </w:r>
      <w:proofErr w:type="spellStart"/>
      <w:r w:rsidRPr="000239D5">
        <w:rPr>
          <w:rFonts w:ascii="Times New Roman" w:hAnsi="Times New Roman" w:cs="Times New Roman"/>
          <w:sz w:val="28"/>
          <w:szCs w:val="28"/>
          <w:lang w:val="uk-UA"/>
        </w:rPr>
        <w:t>внауково-педагогічному</w:t>
      </w:r>
      <w:proofErr w:type="spellEnd"/>
      <w:r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 проекті «Інтелект України» на базі загальноосвітніх навчальних закладів».</w:t>
      </w:r>
      <w:r w:rsidR="000239D5" w:rsidRPr="00023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9D5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освіту»(стаття33)</w:t>
      </w:r>
    </w:p>
    <w:p w:rsidR="001172B7" w:rsidRDefault="008A015C" w:rsidP="008A015C">
      <w:pPr>
        <w:ind w:left="-57" w:right="5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9D5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Типовий навчальний план</w:t>
      </w:r>
    </w:p>
    <w:p w:rsidR="001172B7" w:rsidRDefault="008A015C" w:rsidP="008A015C">
      <w:pPr>
        <w:ind w:left="-57" w:right="5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9D5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науково-педагогічного проекту «Інтелект України»</w:t>
      </w:r>
    </w:p>
    <w:p w:rsidR="008A015C" w:rsidRDefault="008A015C" w:rsidP="001172B7">
      <w:pPr>
        <w:ind w:left="-57" w:right="57"/>
        <w:jc w:val="center"/>
        <w:outlineLvl w:val="0"/>
        <w:rPr>
          <w:i/>
        </w:rPr>
      </w:pPr>
      <w:r w:rsidRPr="000239D5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основі освітньої програми початкової школи науково-педагогічного проекту «Інтелект України» цикл І (1-2 класи)  (відповідно до листа  МОН України від 25.05.18 р. №1/9-344)</w:t>
      </w:r>
      <w:r>
        <w:rPr>
          <w:i/>
        </w:rPr>
        <w:t xml:space="preserve"> </w:t>
      </w:r>
    </w:p>
    <w:p w:rsidR="008A015C" w:rsidRPr="001172B7" w:rsidRDefault="001172B7" w:rsidP="001172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2B7">
        <w:rPr>
          <w:rFonts w:ascii="Times New Roman" w:hAnsi="Times New Roman" w:cs="Times New Roman"/>
          <w:sz w:val="28"/>
          <w:szCs w:val="28"/>
          <w:lang w:val="uk-UA"/>
        </w:rPr>
        <w:t xml:space="preserve">Типовий навчальний план початкової школи з українською мовою навчання для закладів загальної середньої освіти, що працюють за науково-педагогічним проектом «Інтелект України» (далі — Типовий навчальний план, </w:t>
      </w:r>
      <w:proofErr w:type="spellStart"/>
      <w:r w:rsidRPr="001172B7">
        <w:rPr>
          <w:rFonts w:ascii="Times New Roman" w:hAnsi="Times New Roman" w:cs="Times New Roman"/>
          <w:sz w:val="28"/>
          <w:szCs w:val="28"/>
          <w:lang w:val="uk-UA"/>
        </w:rPr>
        <w:t>додоток</w:t>
      </w:r>
      <w:proofErr w:type="spellEnd"/>
      <w:r w:rsidRPr="001172B7">
        <w:rPr>
          <w:rFonts w:ascii="Times New Roman" w:hAnsi="Times New Roman" w:cs="Times New Roman"/>
          <w:sz w:val="28"/>
          <w:szCs w:val="28"/>
          <w:lang w:val="uk-UA"/>
        </w:rPr>
        <w:t xml:space="preserve"> 1), розроблено на основі Базового навчального плану для закладів загальної середньої освіти з українською мовою навчання Державного стандарту початкової освіти. </w:t>
      </w:r>
      <w:r w:rsidRPr="001172B7">
        <w:rPr>
          <w:rFonts w:ascii="Times New Roman" w:hAnsi="Times New Roman" w:cs="Times New Roman"/>
          <w:sz w:val="28"/>
          <w:szCs w:val="28"/>
        </w:rPr>
        <w:t xml:space="preserve">У Типовому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надану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стандартом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lastRenderedPageBreak/>
        <w:t>або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часткової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72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72B7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. Мета і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мовно-літературної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реалізуються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» (1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— 6 год/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тижд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.) і «Я </w:t>
      </w:r>
      <w:proofErr w:type="spellStart"/>
      <w:proofErr w:type="gramStart"/>
      <w:r w:rsidRPr="001172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72B7">
        <w:rPr>
          <w:rFonts w:ascii="Times New Roman" w:hAnsi="Times New Roman" w:cs="Times New Roman"/>
          <w:sz w:val="28"/>
          <w:szCs w:val="28"/>
        </w:rPr>
        <w:t>ізнаю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>» (1клас— 1 год/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тижд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Іншомовна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органічна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мовно-літературної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предметом «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» (1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). Мета і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математичної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реалізуються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«Математика» (1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— 3 год/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тижд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.) і «Я </w:t>
      </w:r>
      <w:proofErr w:type="spellStart"/>
      <w:proofErr w:type="gramStart"/>
      <w:r w:rsidRPr="001172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72B7">
        <w:rPr>
          <w:rFonts w:ascii="Times New Roman" w:hAnsi="Times New Roman" w:cs="Times New Roman"/>
          <w:sz w:val="28"/>
          <w:szCs w:val="28"/>
        </w:rPr>
        <w:t>ізнаю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» (1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— 1 год/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тижд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..). Мета і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природничої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реалізуються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предмет «Я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пізнаю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» (1 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 — 2 год/</w:t>
      </w:r>
      <w:proofErr w:type="spellStart"/>
      <w:r w:rsidRPr="001172B7">
        <w:rPr>
          <w:rFonts w:ascii="Times New Roman" w:hAnsi="Times New Roman" w:cs="Times New Roman"/>
          <w:sz w:val="28"/>
          <w:szCs w:val="28"/>
        </w:rPr>
        <w:t>тиж</w:t>
      </w:r>
      <w:proofErr w:type="spellEnd"/>
      <w:r w:rsidRPr="001172B7">
        <w:rPr>
          <w:rFonts w:ascii="Times New Roman" w:hAnsi="Times New Roman" w:cs="Times New Roman"/>
          <w:sz w:val="28"/>
          <w:szCs w:val="28"/>
        </w:rPr>
        <w:t xml:space="preserve">.). </w:t>
      </w:r>
      <w:r w:rsidRPr="001172B7">
        <w:rPr>
          <w:rFonts w:ascii="Times New Roman" w:hAnsi="Times New Roman" w:cs="Times New Roman"/>
          <w:sz w:val="28"/>
          <w:szCs w:val="28"/>
          <w:lang w:val="uk-UA"/>
        </w:rPr>
        <w:t xml:space="preserve"> Мета і завдання мистецької освітньої галузі реалізуються через навчальні предмети «Мистецтво» (1–клас — 1 </w:t>
      </w:r>
      <w:proofErr w:type="spellStart"/>
      <w:r w:rsidRPr="001172B7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172B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172B7">
        <w:rPr>
          <w:rFonts w:ascii="Times New Roman" w:hAnsi="Times New Roman" w:cs="Times New Roman"/>
          <w:sz w:val="28"/>
          <w:szCs w:val="28"/>
          <w:lang w:val="uk-UA"/>
        </w:rPr>
        <w:t>тижд</w:t>
      </w:r>
      <w:proofErr w:type="spellEnd"/>
      <w:r w:rsidRPr="001172B7">
        <w:rPr>
          <w:rFonts w:ascii="Times New Roman" w:hAnsi="Times New Roman" w:cs="Times New Roman"/>
          <w:sz w:val="28"/>
          <w:szCs w:val="28"/>
          <w:lang w:val="uk-UA"/>
        </w:rPr>
        <w:t xml:space="preserve">.) і «Я пізнаю світ» (1 клас — 1 </w:t>
      </w:r>
      <w:proofErr w:type="spellStart"/>
      <w:r w:rsidRPr="001172B7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172B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172B7">
        <w:rPr>
          <w:rFonts w:ascii="Times New Roman" w:hAnsi="Times New Roman" w:cs="Times New Roman"/>
          <w:sz w:val="28"/>
          <w:szCs w:val="28"/>
          <w:lang w:val="uk-UA"/>
        </w:rPr>
        <w:t>тижд</w:t>
      </w:r>
      <w:proofErr w:type="spellEnd"/>
      <w:r w:rsidRPr="001172B7">
        <w:rPr>
          <w:rFonts w:ascii="Times New Roman" w:hAnsi="Times New Roman" w:cs="Times New Roman"/>
          <w:sz w:val="28"/>
          <w:szCs w:val="28"/>
          <w:lang w:val="uk-UA"/>
        </w:rPr>
        <w:t xml:space="preserve">.); фізкультурної — через навчальні предмети «Фізична культура» (1 клас — 2 </w:t>
      </w:r>
      <w:proofErr w:type="spellStart"/>
      <w:r w:rsidRPr="001172B7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172B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172B7">
        <w:rPr>
          <w:rFonts w:ascii="Times New Roman" w:hAnsi="Times New Roman" w:cs="Times New Roman"/>
          <w:sz w:val="28"/>
          <w:szCs w:val="28"/>
          <w:lang w:val="uk-UA"/>
        </w:rPr>
        <w:t>тижд</w:t>
      </w:r>
      <w:proofErr w:type="spellEnd"/>
      <w:r w:rsidRPr="001172B7">
        <w:rPr>
          <w:rFonts w:ascii="Times New Roman" w:hAnsi="Times New Roman" w:cs="Times New Roman"/>
          <w:sz w:val="28"/>
          <w:szCs w:val="28"/>
          <w:lang w:val="uk-UA"/>
        </w:rPr>
        <w:t xml:space="preserve">.) і «Я пізнаю світ» (1 клас — 1 </w:t>
      </w:r>
      <w:proofErr w:type="spellStart"/>
      <w:r w:rsidRPr="001172B7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172B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172B7">
        <w:rPr>
          <w:rFonts w:ascii="Times New Roman" w:hAnsi="Times New Roman" w:cs="Times New Roman"/>
          <w:sz w:val="28"/>
          <w:szCs w:val="28"/>
          <w:lang w:val="uk-UA"/>
        </w:rPr>
        <w:t>тижд</w:t>
      </w:r>
      <w:proofErr w:type="spellEnd"/>
      <w:r w:rsidRPr="001172B7">
        <w:rPr>
          <w:rFonts w:ascii="Times New Roman" w:hAnsi="Times New Roman" w:cs="Times New Roman"/>
          <w:sz w:val="28"/>
          <w:szCs w:val="28"/>
          <w:lang w:val="uk-UA"/>
        </w:rPr>
        <w:t>.).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2B7">
        <w:rPr>
          <w:rFonts w:ascii="Times New Roman" w:hAnsi="Times New Roman" w:cs="Times New Roman"/>
          <w:sz w:val="28"/>
          <w:szCs w:val="28"/>
          <w:lang w:val="uk-UA"/>
        </w:rPr>
        <w:t xml:space="preserve">Включення до навчального предмета «Я пізнаю світ» однієї години фізкультурної галузі забезпечує належний рівень рухової активності учнів та дає можливість інтегровано реалізувати </w:t>
      </w:r>
      <w:proofErr w:type="spellStart"/>
      <w:r w:rsidRPr="001172B7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здоров’язбережувальну</w:t>
      </w:r>
      <w:proofErr w:type="spellEnd"/>
      <w:r w:rsidRPr="001172B7">
        <w:rPr>
          <w:rFonts w:ascii="Times New Roman" w:hAnsi="Times New Roman" w:cs="Times New Roman"/>
          <w:sz w:val="28"/>
          <w:szCs w:val="28"/>
          <w:lang w:val="uk-UA"/>
        </w:rPr>
        <w:t xml:space="preserve"> мету освіти завдяки систематичному виконанню різноманітних вправ для психологічного розвантаження, зняття перевтоми, а також для профілактики найпоширеніших відхилень у здоров’ї молодших учнів — порушення зору, постави тощо. Типовий навчальний план початкової школи Проекту містить інваріантну складову, обов’язкову для виконання всіма закладами загальної середньої освіти, що працюють за Проектом, незалежно від їх підпорядкування і форм власності, та варіативну складову.</w:t>
      </w:r>
    </w:p>
    <w:p w:rsidR="008A015C" w:rsidRDefault="008A015C" w:rsidP="008A015C">
      <w:pPr>
        <w:pStyle w:val="a3"/>
        <w:rPr>
          <w:sz w:val="22"/>
          <w:szCs w:val="22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3545"/>
        <w:gridCol w:w="1389"/>
      </w:tblGrid>
      <w:tr w:rsidR="00F50BCE" w:rsidTr="00F50BCE">
        <w:trPr>
          <w:gridAfter w:val="1"/>
          <w:wAfter w:w="1389" w:type="dxa"/>
          <w:trHeight w:val="676"/>
          <w:tblHeader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jc w:val="center"/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  <w:r>
              <w:rPr>
                <w:sz w:val="26"/>
                <w:szCs w:val="20"/>
                <w:lang w:val="uk-UA"/>
              </w:rPr>
              <w:t>Назва освітньої галузі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jc w:val="center"/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  <w:r>
              <w:rPr>
                <w:sz w:val="26"/>
                <w:szCs w:val="20"/>
                <w:lang w:val="uk-UA"/>
              </w:rPr>
              <w:t>Назва навчального предмета</w:t>
            </w:r>
          </w:p>
        </w:tc>
      </w:tr>
      <w:tr w:rsidR="00F50BCE" w:rsidTr="00F50BCE">
        <w:trPr>
          <w:trHeight w:val="498"/>
          <w:tblHeader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CE" w:rsidRDefault="00F50BCE">
            <w:pPr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CE" w:rsidRDefault="00F50BCE">
            <w:pPr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Pr="00F50BCE" w:rsidRDefault="00F50BCE" w:rsidP="00F50BCE">
            <w:pPr>
              <w:spacing w:before="120" w:line="256" w:lineRule="auto"/>
              <w:jc w:val="center"/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  <w:r>
              <w:rPr>
                <w:sz w:val="26"/>
                <w:szCs w:val="20"/>
                <w:lang w:val="uk-UA"/>
              </w:rPr>
              <w:t>1-А</w:t>
            </w:r>
            <w:r>
              <w:rPr>
                <w:sz w:val="26"/>
                <w:szCs w:val="20"/>
                <w:lang w:val="en-US"/>
              </w:rPr>
              <w:t xml:space="preserve"> </w:t>
            </w:r>
            <w:r>
              <w:rPr>
                <w:sz w:val="26"/>
                <w:szCs w:val="20"/>
                <w:lang w:val="uk-UA"/>
              </w:rPr>
              <w:t>кл.</w:t>
            </w:r>
          </w:p>
        </w:tc>
      </w:tr>
      <w:tr w:rsidR="00F50BCE" w:rsidTr="00F50BCE">
        <w:trPr>
          <w:gridAfter w:val="1"/>
          <w:wAfter w:w="1389" w:type="dxa"/>
          <w:trHeight w:val="404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 xml:space="preserve">Інваріантний складник                            </w:t>
            </w:r>
          </w:p>
        </w:tc>
      </w:tr>
      <w:tr w:rsidR="00F50BCE" w:rsidTr="00F50BCE">
        <w:trPr>
          <w:trHeight w:val="40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 xml:space="preserve">Мовно-літературна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jc w:val="center"/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  <w:r>
              <w:rPr>
                <w:sz w:val="26"/>
                <w:szCs w:val="20"/>
                <w:lang w:val="uk-UA"/>
              </w:rPr>
              <w:t>6</w:t>
            </w:r>
          </w:p>
        </w:tc>
      </w:tr>
      <w:tr w:rsidR="00F50BCE" w:rsidTr="00F50BCE">
        <w:trPr>
          <w:trHeight w:val="40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 xml:space="preserve">Математична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uk-UA"/>
              </w:rPr>
              <w:t xml:space="preserve">                     математика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jc w:val="center"/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  <w:r>
              <w:rPr>
                <w:sz w:val="26"/>
                <w:szCs w:val="20"/>
                <w:lang w:val="uk-UA"/>
              </w:rPr>
              <w:t>3</w:t>
            </w:r>
          </w:p>
        </w:tc>
      </w:tr>
      <w:tr w:rsidR="00F50BCE" w:rsidTr="00F50BCE">
        <w:trPr>
          <w:trHeight w:val="40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Мовно-літературна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50BCE" w:rsidRDefault="00F50BCE">
            <w:pPr>
              <w:spacing w:before="120" w:line="256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  <w:proofErr w:type="gramStart"/>
            <w:r>
              <w:t>(</w:t>
            </w:r>
            <w:proofErr w:type="spellStart"/>
            <w:r>
              <w:t>література</w:t>
            </w:r>
            <w:proofErr w:type="spellEnd"/>
            <w:r>
              <w:t xml:space="preserve"> </w:t>
            </w:r>
            <w:proofErr w:type="gram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E" w:rsidRDefault="00F50BCE">
            <w:pPr>
              <w:spacing w:before="120" w:line="256" w:lineRule="auto"/>
              <w:jc w:val="center"/>
              <w:rPr>
                <w:rFonts w:ascii="Times New Roman" w:hAnsi="Times New Roman"/>
                <w:sz w:val="26"/>
                <w:szCs w:val="20"/>
                <w:lang w:val="uk-UA" w:eastAsia="ru-RU"/>
              </w:rPr>
            </w:pPr>
          </w:p>
          <w:p w:rsidR="00F50BCE" w:rsidRDefault="00F50BCE">
            <w:pPr>
              <w:spacing w:before="120" w:line="256" w:lineRule="auto"/>
              <w:jc w:val="center"/>
              <w:rPr>
                <w:sz w:val="26"/>
                <w:szCs w:val="20"/>
                <w:lang w:val="uk-UA"/>
              </w:rPr>
            </w:pPr>
          </w:p>
          <w:p w:rsidR="00F50BCE" w:rsidRDefault="00F50BCE">
            <w:pPr>
              <w:spacing w:before="120" w:line="256" w:lineRule="auto"/>
              <w:jc w:val="center"/>
              <w:rPr>
                <w:sz w:val="26"/>
                <w:szCs w:val="20"/>
                <w:lang w:val="uk-UA"/>
              </w:rPr>
            </w:pPr>
          </w:p>
          <w:p w:rsidR="00F50BCE" w:rsidRDefault="00F50BCE">
            <w:pPr>
              <w:spacing w:before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Я пізнаю світ*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E" w:rsidRDefault="00F50BCE">
            <w:pPr>
              <w:spacing w:before="120" w:line="256" w:lineRule="auto"/>
              <w:jc w:val="center"/>
              <w:rPr>
                <w:rFonts w:ascii="Times New Roman" w:hAnsi="Times New Roman"/>
                <w:sz w:val="26"/>
                <w:szCs w:val="20"/>
                <w:lang w:val="uk-UA" w:eastAsia="ru-RU"/>
              </w:rPr>
            </w:pPr>
          </w:p>
          <w:p w:rsidR="00F50BCE" w:rsidRDefault="00F50BCE">
            <w:pPr>
              <w:spacing w:before="120" w:line="256" w:lineRule="auto"/>
              <w:jc w:val="center"/>
              <w:rPr>
                <w:sz w:val="26"/>
                <w:szCs w:val="20"/>
                <w:lang w:val="uk-UA"/>
              </w:rPr>
            </w:pPr>
          </w:p>
          <w:p w:rsidR="00F50BCE" w:rsidRDefault="00F50BCE">
            <w:pPr>
              <w:spacing w:before="120" w:line="256" w:lineRule="auto"/>
              <w:jc w:val="center"/>
              <w:rPr>
                <w:sz w:val="26"/>
                <w:szCs w:val="20"/>
                <w:lang w:val="uk-UA"/>
              </w:rPr>
            </w:pPr>
          </w:p>
          <w:p w:rsidR="00F50BCE" w:rsidRDefault="00F50BCE">
            <w:pPr>
              <w:spacing w:before="120" w:line="256" w:lineRule="auto"/>
              <w:jc w:val="center"/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  <w:r>
              <w:rPr>
                <w:sz w:val="26"/>
                <w:szCs w:val="20"/>
                <w:lang w:val="uk-UA"/>
              </w:rPr>
              <w:t>8</w:t>
            </w:r>
          </w:p>
        </w:tc>
      </w:tr>
      <w:tr w:rsidR="00F50BCE" w:rsidTr="00F50BCE">
        <w:trPr>
          <w:trHeight w:val="40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Математична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CE" w:rsidRDefault="00F50BC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CE" w:rsidRDefault="00F50BCE">
            <w:pPr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</w:p>
        </w:tc>
      </w:tr>
      <w:tr w:rsidR="00F50BCE" w:rsidTr="00F50BCE">
        <w:trPr>
          <w:trHeight w:val="31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Природнича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CE" w:rsidRDefault="00F50BC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CE" w:rsidRDefault="00F50BCE">
            <w:pPr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</w:p>
        </w:tc>
      </w:tr>
      <w:tr w:rsidR="00F50BCE" w:rsidTr="00F50BCE">
        <w:trPr>
          <w:trHeight w:val="38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Соц</w:t>
            </w:r>
            <w:proofErr w:type="gramEnd"/>
            <w:r>
              <w:rPr>
                <w:sz w:val="22"/>
                <w:szCs w:val="22"/>
              </w:rPr>
              <w:t>іальна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здоров’я-збережувальна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CE" w:rsidRDefault="00F50BC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CE" w:rsidRDefault="00F50BCE">
            <w:pPr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</w:p>
        </w:tc>
      </w:tr>
      <w:tr w:rsidR="00F50BCE" w:rsidTr="00F50BCE">
        <w:trPr>
          <w:trHeight w:val="27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Громадянська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50BCE" w:rsidRDefault="00F50BCE">
            <w:pPr>
              <w:spacing w:before="120" w:line="256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  <w:r>
              <w:lastRenderedPageBreak/>
              <w:t xml:space="preserve">та </w:t>
            </w:r>
            <w:proofErr w:type="spellStart"/>
            <w:r>
              <w:t>історична</w:t>
            </w:r>
            <w:proofErr w:type="spellEnd"/>
            <w:r>
              <w:t xml:space="preserve"> 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CE" w:rsidRDefault="00F50BC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CE" w:rsidRDefault="00F50BCE">
            <w:pPr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</w:p>
        </w:tc>
      </w:tr>
      <w:tr w:rsidR="00F50BCE" w:rsidTr="00F50BCE">
        <w:trPr>
          <w:trHeight w:val="28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Технологічна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CE" w:rsidRDefault="00F50BC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CE" w:rsidRDefault="00F50BCE">
            <w:pPr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</w:p>
        </w:tc>
      </w:tr>
      <w:tr w:rsidR="00F50BCE" w:rsidTr="00F50BCE">
        <w:trPr>
          <w:trHeight w:val="42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Фізкультурна</w:t>
            </w:r>
            <w:proofErr w:type="spellEnd"/>
            <w:r>
              <w:rPr>
                <w:sz w:val="22"/>
                <w:szCs w:val="22"/>
              </w:rPr>
              <w:t xml:space="preserve">*** 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CE" w:rsidRDefault="00F50BC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CE" w:rsidRDefault="00F50BCE">
            <w:pPr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</w:p>
        </w:tc>
      </w:tr>
      <w:tr w:rsidR="00F50BCE" w:rsidTr="00F50BCE">
        <w:trPr>
          <w:trHeight w:val="42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Мистецька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CE" w:rsidRDefault="00F50BC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CE" w:rsidRDefault="00F50BCE">
            <w:pPr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</w:p>
        </w:tc>
      </w:tr>
      <w:tr w:rsidR="00F50BCE" w:rsidTr="00F50BCE">
        <w:trPr>
          <w:trHeight w:val="43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Іншомовна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освіта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jc w:val="center"/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  <w:r>
              <w:rPr>
                <w:sz w:val="26"/>
                <w:szCs w:val="20"/>
                <w:lang w:val="uk-UA"/>
              </w:rPr>
              <w:t>2+1</w:t>
            </w:r>
          </w:p>
        </w:tc>
      </w:tr>
      <w:tr w:rsidR="00F50BCE" w:rsidTr="00F50BCE">
        <w:trPr>
          <w:trHeight w:val="31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Інформатична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jc w:val="center"/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  <w:r>
              <w:rPr>
                <w:sz w:val="26"/>
                <w:szCs w:val="20"/>
                <w:lang w:val="uk-UA"/>
              </w:rPr>
              <w:t>-</w:t>
            </w:r>
          </w:p>
        </w:tc>
      </w:tr>
      <w:tr w:rsidR="00F50BCE" w:rsidTr="00F50BCE">
        <w:trPr>
          <w:trHeight w:val="21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pStyle w:val="Default"/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Мистецька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Мистецтво**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jc w:val="center"/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  <w:r>
              <w:rPr>
                <w:sz w:val="26"/>
                <w:szCs w:val="20"/>
                <w:lang w:val="uk-UA"/>
              </w:rPr>
              <w:t>1</w:t>
            </w:r>
          </w:p>
        </w:tc>
      </w:tr>
      <w:tr w:rsidR="00F50BCE" w:rsidTr="00F50BCE">
        <w:trPr>
          <w:trHeight w:val="18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pStyle w:val="Default"/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Фізкультурна***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jc w:val="center"/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  <w:r>
              <w:rPr>
                <w:sz w:val="26"/>
                <w:szCs w:val="20"/>
                <w:lang w:val="uk-UA"/>
              </w:rPr>
              <w:t>2</w:t>
            </w:r>
          </w:p>
        </w:tc>
      </w:tr>
      <w:tr w:rsidR="00F50BCE" w:rsidTr="00F50BCE">
        <w:trPr>
          <w:gridAfter w:val="1"/>
          <w:wAfter w:w="1389" w:type="dxa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Варіативний складник</w:t>
            </w:r>
          </w:p>
        </w:tc>
      </w:tr>
      <w:tr w:rsidR="00F50BCE" w:rsidTr="00F50BC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Додаткові години для вивчення предметів освітніх галузей, курси за вибором, проведення індивідуальних консультацій та групових занять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E" w:rsidRDefault="00F50BCE">
            <w:pPr>
              <w:spacing w:before="120" w:line="25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  <w:r>
              <w:rPr>
                <w:sz w:val="26"/>
                <w:szCs w:val="20"/>
                <w:lang w:val="uk-UA"/>
              </w:rPr>
              <w:t>1</w:t>
            </w:r>
          </w:p>
        </w:tc>
      </w:tr>
      <w:tr w:rsidR="00F50BCE" w:rsidTr="00F50BC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lang w:val="uk-UA"/>
              </w:rPr>
              <w:t>Загальнорічна</w:t>
            </w:r>
            <w:proofErr w:type="spellEnd"/>
            <w:r>
              <w:rPr>
                <w:lang w:val="uk-UA"/>
              </w:rPr>
              <w:t xml:space="preserve"> кількість навчальних годин, що фінансуються з бюджету (без урахування поділу на групи)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E" w:rsidRDefault="00F50BCE">
            <w:pPr>
              <w:spacing w:before="120" w:line="25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  <w:r>
              <w:rPr>
                <w:sz w:val="26"/>
                <w:szCs w:val="20"/>
                <w:lang w:val="uk-UA"/>
              </w:rPr>
              <w:t>23</w:t>
            </w:r>
          </w:p>
        </w:tc>
      </w:tr>
      <w:tr w:rsidR="00F50BCE" w:rsidTr="00F50BC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  <w:r>
              <w:rPr>
                <w:lang w:val="uk-UA"/>
              </w:rPr>
              <w:t>Гранично допустиме тижневе/річне навчальне</w:t>
            </w:r>
            <w:r>
              <w:rPr>
                <w:sz w:val="26"/>
                <w:szCs w:val="20"/>
                <w:lang w:val="uk-UA"/>
              </w:rPr>
              <w:t xml:space="preserve"> </w:t>
            </w:r>
            <w:r>
              <w:rPr>
                <w:lang w:val="uk-UA"/>
              </w:rPr>
              <w:t>навантаження здобувача освіти</w:t>
            </w:r>
            <w:r>
              <w:rPr>
                <w:sz w:val="26"/>
                <w:szCs w:val="20"/>
                <w:lang w:val="uk-UA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E" w:rsidRDefault="00F50BCE">
            <w:pPr>
              <w:spacing w:before="120" w:line="25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CE" w:rsidRDefault="00F50BCE">
            <w:pPr>
              <w:spacing w:before="120" w:line="256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0"/>
                <w:lang w:val="uk-UA" w:eastAsia="ru-RU"/>
              </w:rPr>
            </w:pPr>
            <w:r>
              <w:rPr>
                <w:sz w:val="26"/>
                <w:szCs w:val="20"/>
                <w:lang w:val="uk-UA"/>
              </w:rPr>
              <w:t>20</w:t>
            </w:r>
          </w:p>
        </w:tc>
      </w:tr>
    </w:tbl>
    <w:p w:rsidR="008A015C" w:rsidRPr="001172B7" w:rsidRDefault="008A015C" w:rsidP="001172B7">
      <w:pPr>
        <w:jc w:val="both"/>
        <w:rPr>
          <w:sz w:val="28"/>
          <w:szCs w:val="28"/>
          <w:lang w:val="uk-UA"/>
        </w:rPr>
      </w:pPr>
    </w:p>
    <w:p w:rsidR="008A015C" w:rsidRDefault="008A015C" w:rsidP="008A015C">
      <w:pPr>
        <w:ind w:firstLine="708"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* Орієнтовний розподіл годин між освітніми галузями в межах інтегрованого навчального предмета «Я пізнаю світ»:  мовно-літературна освітня галузь — 1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тижд</w:t>
      </w:r>
      <w:proofErr w:type="spellEnd"/>
      <w:r>
        <w:rPr>
          <w:lang w:val="uk-UA"/>
        </w:rPr>
        <w:t xml:space="preserve">.; природнича, технологічна, соціальна і </w:t>
      </w:r>
      <w:proofErr w:type="spellStart"/>
      <w:r>
        <w:rPr>
          <w:lang w:val="uk-UA"/>
        </w:rPr>
        <w:t>здоров’язбережувальна</w:t>
      </w:r>
      <w:proofErr w:type="spellEnd"/>
      <w:r>
        <w:rPr>
          <w:lang w:val="uk-UA"/>
        </w:rPr>
        <w:t xml:space="preserve">, громадянська та історична освітні галузі — разом 4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тижд</w:t>
      </w:r>
      <w:proofErr w:type="spellEnd"/>
      <w:r>
        <w:rPr>
          <w:lang w:val="uk-UA"/>
        </w:rPr>
        <w:t xml:space="preserve">.; математична освітня галузь — 1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тижд</w:t>
      </w:r>
      <w:proofErr w:type="spellEnd"/>
      <w:r>
        <w:rPr>
          <w:lang w:val="uk-UA"/>
        </w:rPr>
        <w:t xml:space="preserve">.; мистецька освітня галузь — 1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тижд</w:t>
      </w:r>
      <w:proofErr w:type="spellEnd"/>
      <w:r>
        <w:rPr>
          <w:lang w:val="uk-UA"/>
        </w:rPr>
        <w:t xml:space="preserve">.; фізкультурна освітня галузь — 1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тижд</w:t>
      </w:r>
      <w:proofErr w:type="spellEnd"/>
      <w:r>
        <w:rPr>
          <w:lang w:val="uk-UA"/>
        </w:rPr>
        <w:t xml:space="preserve">.; 2‒4 класи: мовно-літературна освітня галузь — 1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тижд</w:t>
      </w:r>
      <w:proofErr w:type="spellEnd"/>
      <w:r>
        <w:rPr>
          <w:lang w:val="uk-UA"/>
        </w:rPr>
        <w:t xml:space="preserve">.; природнича, технологічна, соціальна і </w:t>
      </w:r>
      <w:proofErr w:type="spellStart"/>
      <w:r>
        <w:rPr>
          <w:lang w:val="uk-UA"/>
        </w:rPr>
        <w:t>здоров’язбережувальна</w:t>
      </w:r>
      <w:proofErr w:type="spellEnd"/>
      <w:r>
        <w:rPr>
          <w:lang w:val="uk-UA"/>
        </w:rPr>
        <w:t xml:space="preserve">, громадянська та історична освітні галузі — разом 4,5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тижд</w:t>
      </w:r>
      <w:proofErr w:type="spellEnd"/>
      <w:r>
        <w:rPr>
          <w:lang w:val="uk-UA"/>
        </w:rPr>
        <w:t xml:space="preserve">.; математична освітня галузь — 1,5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тижд</w:t>
      </w:r>
      <w:proofErr w:type="spellEnd"/>
      <w:r>
        <w:rPr>
          <w:lang w:val="uk-UA"/>
        </w:rPr>
        <w:t xml:space="preserve">.; мистецька освітня галузь — 1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тижд</w:t>
      </w:r>
      <w:proofErr w:type="spellEnd"/>
      <w:r>
        <w:rPr>
          <w:lang w:val="uk-UA"/>
        </w:rPr>
        <w:t xml:space="preserve">.; фізкультурна освітня галузь — 1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тижд</w:t>
      </w:r>
      <w:proofErr w:type="spellEnd"/>
      <w:r>
        <w:rPr>
          <w:lang w:val="uk-UA"/>
        </w:rPr>
        <w:t>.</w:t>
      </w:r>
    </w:p>
    <w:p w:rsidR="008A015C" w:rsidRDefault="008A015C" w:rsidP="008A015C">
      <w:pPr>
        <w:ind w:firstLine="708"/>
        <w:jc w:val="both"/>
        <w:rPr>
          <w:lang w:val="uk-UA"/>
        </w:rPr>
      </w:pPr>
      <w:r>
        <w:rPr>
          <w:lang w:val="uk-UA"/>
        </w:rPr>
        <w:t xml:space="preserve"> ** Інтегрований предмет або окремі предмети «Образотворче мистецтво» і «Музичне мистецтво». </w:t>
      </w:r>
    </w:p>
    <w:p w:rsidR="008A015C" w:rsidRPr="001172B7" w:rsidRDefault="008A015C" w:rsidP="001172B7">
      <w:pPr>
        <w:ind w:firstLine="708"/>
        <w:jc w:val="both"/>
        <w:rPr>
          <w:sz w:val="28"/>
          <w:szCs w:val="28"/>
        </w:rPr>
      </w:pPr>
      <w:r>
        <w:rPr>
          <w:lang w:val="uk-UA"/>
        </w:rPr>
        <w:lastRenderedPageBreak/>
        <w:t xml:space="preserve">*** Години, передбачені для фізичної культури (предмети «Я пізнаю світ» (1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тижд</w:t>
      </w:r>
      <w:proofErr w:type="spellEnd"/>
      <w:r>
        <w:rPr>
          <w:lang w:val="uk-UA"/>
        </w:rPr>
        <w:t xml:space="preserve">.) та «Фізична культура» (2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тижд</w:t>
      </w:r>
      <w:proofErr w:type="spellEnd"/>
      <w:r>
        <w:rPr>
          <w:lang w:val="uk-UA"/>
        </w:rPr>
        <w:t>.), не враховуються під час визначення гран</w:t>
      </w:r>
      <w:proofErr w:type="spellStart"/>
      <w:r>
        <w:t>ично</w:t>
      </w:r>
      <w:proofErr w:type="spellEnd"/>
      <w:r>
        <w:t xml:space="preserve"> допустимого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але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фінансуються</w:t>
      </w:r>
      <w:proofErr w:type="spellEnd"/>
      <w:r>
        <w:t>.</w:t>
      </w:r>
    </w:p>
    <w:p w:rsidR="008A015C" w:rsidRPr="008A015C" w:rsidRDefault="008A015C" w:rsidP="008A015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A015C" w:rsidRPr="008A01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26C6"/>
    <w:multiLevelType w:val="hybridMultilevel"/>
    <w:tmpl w:val="90266F36"/>
    <w:lvl w:ilvl="0" w:tplc="763E9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62"/>
    <w:rsid w:val="000239D5"/>
    <w:rsid w:val="001172B7"/>
    <w:rsid w:val="002814FE"/>
    <w:rsid w:val="008A015C"/>
    <w:rsid w:val="00C90762"/>
    <w:rsid w:val="00DB2219"/>
    <w:rsid w:val="00F5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62"/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015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8A01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8A0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F5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62"/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015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8A01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8A0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F5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2</cp:revision>
  <dcterms:created xsi:type="dcterms:W3CDTF">2019-04-22T09:43:00Z</dcterms:created>
  <dcterms:modified xsi:type="dcterms:W3CDTF">2019-04-22T09:43:00Z</dcterms:modified>
</cp:coreProperties>
</file>